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Regis Compliance – RAMS &amp; Methodology Summary</w:t>
      </w:r>
    </w:p>
    <w:p>
      <w:pPr>
        <w:pStyle w:val="Heading2"/>
      </w:pPr>
      <w:r>
        <w:t>Risk Assessment Approach</w:t>
      </w:r>
    </w:p>
    <w:p>
      <w:r>
        <w:t>All works are risk assessed prior to commencement, considering site-specific hazards, occupancy levels and programme constraints.</w:t>
      </w:r>
    </w:p>
    <w:p>
      <w:pPr>
        <w:pStyle w:val="Heading2"/>
      </w:pPr>
      <w:r>
        <w:t>Methodology – Inspection &amp; Testing</w:t>
      </w:r>
    </w:p>
    <w:p>
      <w:r>
        <w:t>Testing activities are planned, isolated and executed in line with BS 7671 and site procedures, with results recorded in structured formats.</w:t>
      </w:r>
    </w:p>
    <w:p>
      <w:pPr>
        <w:pStyle w:val="Heading2"/>
      </w:pPr>
      <w:r>
        <w:t>Methodology – Remedial Works</w:t>
      </w:r>
    </w:p>
    <w:p>
      <w:r>
        <w:t>Remedial works are undertaken strictly to approved scopes and RAMS, with variations identified and agreed prior to execution.</w:t>
      </w:r>
    </w:p>
    <w:p>
      <w:pPr>
        <w:pStyle w:val="Heading2"/>
      </w:pPr>
      <w:r>
        <w:t>Supervision &amp; Competence</w:t>
      </w:r>
    </w:p>
    <w:p>
      <w:r>
        <w:t>Works are undertaken by competent operatives under appropriate supervision, with responsibilities clearly defined.</w:t>
      </w:r>
    </w:p>
    <w:p>
      <w:pPr>
        <w:pStyle w:val="Heading2"/>
      </w:pPr>
      <w:r>
        <w:t>Close-Out &amp; Handover</w:t>
      </w:r>
    </w:p>
    <w:p>
      <w:r>
        <w:t>All works conclude with clear close-out documentation, certification and handover to the principal contractor or FM representative.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